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A1C" w:rsidRDefault="0096508A" w:rsidP="00513612">
      <w:pPr>
        <w:jc w:val="center"/>
        <w:rPr>
          <w:b/>
          <w:sz w:val="32"/>
          <w:szCs w:val="20"/>
          <w:lang w:eastAsia="en-US"/>
        </w:rPr>
      </w:pPr>
      <w:r w:rsidRPr="00513612">
        <w:rPr>
          <w:b/>
          <w:sz w:val="32"/>
          <w:szCs w:val="20"/>
          <w:lang w:eastAsia="en-US"/>
        </w:rPr>
        <w:t>ESG Investing, Green Bonds, and the Pricing of Climate Risk</w:t>
      </w:r>
    </w:p>
    <w:p w:rsidR="00513612" w:rsidRDefault="00513612" w:rsidP="00513612">
      <w:pPr>
        <w:jc w:val="center"/>
        <w:rPr>
          <w:b/>
          <w:sz w:val="32"/>
          <w:szCs w:val="20"/>
          <w:lang w:eastAsia="en-US"/>
        </w:rPr>
      </w:pPr>
    </w:p>
    <w:p w:rsidR="00A2683A" w:rsidRPr="00A2683A" w:rsidRDefault="00A2683A" w:rsidP="00513612">
      <w:pPr>
        <w:jc w:val="center"/>
      </w:pPr>
      <w:bookmarkStart w:id="0" w:name="_GoBack"/>
      <w:r w:rsidRPr="00A2683A">
        <w:t>Zhang Ming</w:t>
      </w:r>
    </w:p>
    <w:p w:rsidR="00A2683A" w:rsidRPr="00A2683A" w:rsidRDefault="00A2683A" w:rsidP="00513612">
      <w:pPr>
        <w:jc w:val="center"/>
      </w:pPr>
      <w:r w:rsidRPr="00A2683A">
        <w:t>Liaoning University of Technology, China</w:t>
      </w:r>
    </w:p>
    <w:bookmarkEnd w:id="0"/>
    <w:p w:rsidR="00D57A1C" w:rsidRDefault="0096508A" w:rsidP="00513612">
      <w:pPr>
        <w:pStyle w:val="SPIEabstracttitle"/>
      </w:pPr>
      <w:r>
        <w:t>Abstract</w:t>
      </w:r>
    </w:p>
    <w:p w:rsidR="00D57A1C" w:rsidRPr="00513612" w:rsidRDefault="0096508A" w:rsidP="00513612">
      <w:pPr>
        <w:pStyle w:val="SPIEabstracttitle"/>
        <w:spacing w:before="0" w:after="120"/>
        <w:jc w:val="both"/>
        <w:rPr>
          <w:b w:val="0"/>
          <w:caps w:val="0"/>
          <w:sz w:val="20"/>
        </w:rPr>
      </w:pPr>
      <w:r w:rsidRPr="00513612">
        <w:rPr>
          <w:b w:val="0"/>
          <w:caps w:val="0"/>
          <w:sz w:val="20"/>
        </w:rPr>
        <w:t xml:space="preserve">Environmental, Social, and Governance (ESG) investing and green finance have grown from niche ethical investment strategies to mainstream financial practice, with global ESG assets under management estimated at over $30 trillion in 2023 and the green bond market exceeding $1 trillion in cumulative issuance. Climate risk—including physical risks from climate change impacts and transition risks from policy and technological changes required to decarbonize the economy—is increasingly recognized by central banks, financial regulators, and institutional investors as a material financial risk requiring integration into investment and risk management frameworks. This paper reviews the financial performance evidence for ESG investing (whether ESG portfolios outperform, underperform, or match non-ESG benchmarks), the green bond market and </w:t>
      </w:r>
      <w:proofErr w:type="spellStart"/>
      <w:r w:rsidRPr="00513612">
        <w:rPr>
          <w:b w:val="0"/>
          <w:caps w:val="0"/>
          <w:sz w:val="20"/>
        </w:rPr>
        <w:t>greenium</w:t>
      </w:r>
      <w:proofErr w:type="spellEnd"/>
      <w:r w:rsidRPr="00513612">
        <w:rPr>
          <w:b w:val="0"/>
          <w:caps w:val="0"/>
          <w:sz w:val="20"/>
        </w:rPr>
        <w:t xml:space="preserve"> evidence, and the emerging frameworks for integrating physical and transition climate risks into portfolio management and corporate financial analysis.</w:t>
      </w:r>
    </w:p>
    <w:p w:rsidR="00D57A1C" w:rsidRPr="00513612" w:rsidRDefault="0096508A" w:rsidP="00513612">
      <w:pPr>
        <w:pStyle w:val="SPIEabstracttitle"/>
        <w:spacing w:before="0" w:after="0"/>
        <w:jc w:val="both"/>
        <w:rPr>
          <w:b w:val="0"/>
          <w:caps w:val="0"/>
          <w:sz w:val="20"/>
        </w:rPr>
      </w:pPr>
      <w:r w:rsidRPr="00513612">
        <w:rPr>
          <w:caps w:val="0"/>
          <w:sz w:val="20"/>
        </w:rPr>
        <w:t xml:space="preserve">Keywords: </w:t>
      </w:r>
      <w:r w:rsidRPr="00513612">
        <w:rPr>
          <w:b w:val="0"/>
          <w:caps w:val="0"/>
          <w:sz w:val="20"/>
        </w:rPr>
        <w:t xml:space="preserve">ESG Investing; Green Bonds; Climate Risk; Sustainable Finance; </w:t>
      </w:r>
      <w:proofErr w:type="spellStart"/>
      <w:r w:rsidRPr="00513612">
        <w:rPr>
          <w:b w:val="0"/>
          <w:caps w:val="0"/>
          <w:sz w:val="20"/>
        </w:rPr>
        <w:t>Greenium</w:t>
      </w:r>
      <w:proofErr w:type="spellEnd"/>
      <w:r w:rsidRPr="00513612">
        <w:rPr>
          <w:b w:val="0"/>
          <w:caps w:val="0"/>
          <w:sz w:val="20"/>
        </w:rPr>
        <w:t>; Physical Risk; Transition Risk; TCFD; Carbon Pricing</w:t>
      </w:r>
    </w:p>
    <w:p w:rsidR="00D57A1C" w:rsidRPr="00513612" w:rsidRDefault="0096508A" w:rsidP="00513612">
      <w:pPr>
        <w:pStyle w:val="1"/>
        <w:keepNext/>
        <w:numPr>
          <w:ilvl w:val="0"/>
          <w:numId w:val="2"/>
        </w:numPr>
        <w:spacing w:after="120"/>
        <w:ind w:left="357" w:hanging="357"/>
        <w:jc w:val="center"/>
        <w:rPr>
          <w:rFonts w:eastAsiaTheme="minorEastAsia" w:cs="Arial"/>
          <w:caps/>
          <w:kern w:val="32"/>
          <w:sz w:val="22"/>
          <w:szCs w:val="24"/>
          <w:lang w:eastAsia="en-US"/>
        </w:rPr>
      </w:pPr>
      <w:r w:rsidRPr="00513612">
        <w:rPr>
          <w:rFonts w:eastAsiaTheme="minorEastAsia" w:cs="Arial"/>
          <w:caps/>
          <w:kern w:val="32"/>
          <w:sz w:val="22"/>
          <w:szCs w:val="24"/>
          <w:lang w:eastAsia="en-US"/>
        </w:rPr>
        <w:t>Introduction</w:t>
      </w:r>
    </w:p>
    <w:p w:rsidR="00D57A1C" w:rsidRPr="00513612" w:rsidRDefault="0096508A" w:rsidP="00513612">
      <w:pPr>
        <w:pStyle w:val="SPIEabstracttitle"/>
        <w:spacing w:before="0" w:after="120"/>
        <w:jc w:val="both"/>
        <w:rPr>
          <w:b w:val="0"/>
          <w:caps w:val="0"/>
          <w:sz w:val="20"/>
        </w:rPr>
      </w:pPr>
      <w:r w:rsidRPr="00513612">
        <w:rPr>
          <w:b w:val="0"/>
          <w:caps w:val="0"/>
          <w:sz w:val="20"/>
        </w:rPr>
        <w:t xml:space="preserve">The integration of environmental, social, and governance considerations into investment decision-making has grown from socially responsible investing (SRI) screens that excluded </w:t>
      </w:r>
      <w:r w:rsidR="00A7699A">
        <w:rPr>
          <w:b w:val="0"/>
          <w:caps w:val="0"/>
          <w:sz w:val="20"/>
        </w:rPr>
        <w:t>‘</w:t>
      </w:r>
      <w:r w:rsidRPr="00513612">
        <w:rPr>
          <w:b w:val="0"/>
          <w:caps w:val="0"/>
          <w:sz w:val="20"/>
        </w:rPr>
        <w:t>sin stocks</w:t>
      </w:r>
      <w:r w:rsidR="00A7699A">
        <w:rPr>
          <w:b w:val="0"/>
          <w:caps w:val="0"/>
          <w:sz w:val="20"/>
        </w:rPr>
        <w:t>’</w:t>
      </w:r>
      <w:r w:rsidRPr="00513612">
        <w:rPr>
          <w:b w:val="0"/>
          <w:caps w:val="0"/>
          <w:sz w:val="20"/>
        </w:rPr>
        <w:t xml:space="preserve"> (tobacco, alcohol, weapons) in the 1970s–1980s to comprehensive ESG integration that examines material environmental and social factors as components of fundamental analysis. Two driving forces have accelerated ESG</w:t>
      </w:r>
      <w:r w:rsidR="00A7699A">
        <w:rPr>
          <w:b w:val="0"/>
          <w:caps w:val="0"/>
          <w:sz w:val="20"/>
        </w:rPr>
        <w:t>’</w:t>
      </w:r>
      <w:r w:rsidRPr="00513612">
        <w:rPr>
          <w:b w:val="0"/>
          <w:caps w:val="0"/>
          <w:sz w:val="20"/>
        </w:rPr>
        <w:t>s mainstreaming: (1) the growing body of evidence that ESG factors—particularly climate risk, employee relations, and governance quality—have material effects on long-run financial performance; and (2) investor demand from individuals, pension funds, and sovereign wealth funds for investments aligned with sustainability values. BlackRock CEO Larry Fink</w:t>
      </w:r>
      <w:r w:rsidR="00A7699A">
        <w:rPr>
          <w:b w:val="0"/>
          <w:caps w:val="0"/>
          <w:sz w:val="20"/>
        </w:rPr>
        <w:t>’</w:t>
      </w:r>
      <w:r w:rsidRPr="00513612">
        <w:rPr>
          <w:b w:val="0"/>
          <w:caps w:val="0"/>
          <w:sz w:val="20"/>
        </w:rPr>
        <w:t>s 2020 annual letter declared climate risk as investment risk, signaling the largest asset manager</w:t>
      </w:r>
      <w:r w:rsidR="00A7699A">
        <w:rPr>
          <w:b w:val="0"/>
          <w:caps w:val="0"/>
          <w:sz w:val="20"/>
        </w:rPr>
        <w:t>’</w:t>
      </w:r>
      <w:r w:rsidRPr="00513612">
        <w:rPr>
          <w:b w:val="0"/>
          <w:caps w:val="0"/>
          <w:sz w:val="20"/>
        </w:rPr>
        <w:t>s view that ESG integration was not merely ethical preference but financial necessity.</w:t>
      </w:r>
    </w:p>
    <w:p w:rsidR="00D57A1C" w:rsidRPr="00513612" w:rsidRDefault="0096508A" w:rsidP="00513612">
      <w:pPr>
        <w:pStyle w:val="SPIEabstracttitle"/>
        <w:spacing w:before="0" w:after="120"/>
        <w:jc w:val="both"/>
        <w:rPr>
          <w:b w:val="0"/>
          <w:caps w:val="0"/>
          <w:sz w:val="20"/>
        </w:rPr>
      </w:pPr>
      <w:r w:rsidRPr="00513612">
        <w:rPr>
          <w:b w:val="0"/>
          <w:caps w:val="0"/>
          <w:sz w:val="20"/>
        </w:rPr>
        <w:t>Climate risk</w:t>
      </w:r>
      <w:r w:rsidR="00A7699A">
        <w:rPr>
          <w:b w:val="0"/>
          <w:caps w:val="0"/>
          <w:sz w:val="20"/>
        </w:rPr>
        <w:t>’</w:t>
      </w:r>
      <w:r w:rsidRPr="00513612">
        <w:rPr>
          <w:b w:val="0"/>
          <w:caps w:val="0"/>
          <w:sz w:val="20"/>
        </w:rPr>
        <w:t xml:space="preserve">s financial materiality is particularly well-grounded. Physical risks—asset damage from floods, storms, sea-level rise; agricultural productivity loss; human capital effects of heat stress—directly impair cash flows of exposed businesses. Transition risks—policy changes (carbon taxes, emissions trading schemes), technological disruption (renewable energy replacing fossil fuels), and changing consumer preferences—can rapidly impair the value of carbon-intensive assets and business models, potentially creating </w:t>
      </w:r>
      <w:r w:rsidR="00A7699A">
        <w:rPr>
          <w:b w:val="0"/>
          <w:caps w:val="0"/>
          <w:sz w:val="20"/>
        </w:rPr>
        <w:t>‘</w:t>
      </w:r>
      <w:r w:rsidRPr="00513612">
        <w:rPr>
          <w:b w:val="0"/>
          <w:caps w:val="0"/>
          <w:sz w:val="20"/>
        </w:rPr>
        <w:t>stranded assets</w:t>
      </w:r>
      <w:r w:rsidR="00A7699A">
        <w:rPr>
          <w:b w:val="0"/>
          <w:caps w:val="0"/>
          <w:sz w:val="20"/>
        </w:rPr>
        <w:t>’</w:t>
      </w:r>
      <w:r w:rsidRPr="00513612">
        <w:rPr>
          <w:b w:val="0"/>
          <w:caps w:val="0"/>
          <w:sz w:val="20"/>
        </w:rPr>
        <w:t xml:space="preserve"> that cannot be fully utilized before becoming uneconomic. Pastor, Stambaugh, and Taylor (2021) in the Journal of Financial Economics (142(2): 923–959) provide a theoretical model in which sustainable assets</w:t>
      </w:r>
      <w:r w:rsidR="00A7699A">
        <w:rPr>
          <w:b w:val="0"/>
          <w:caps w:val="0"/>
          <w:sz w:val="20"/>
        </w:rPr>
        <w:t>’</w:t>
      </w:r>
      <w:r w:rsidRPr="00513612">
        <w:rPr>
          <w:b w:val="0"/>
          <w:caps w:val="0"/>
          <w:sz w:val="20"/>
        </w:rPr>
        <w:t xml:space="preserve"> expected returns are lower than unsustainable assets in equilibrium because investors with ESG preferences accept lower returns—predicting a </w:t>
      </w:r>
      <w:r w:rsidR="00A7699A">
        <w:rPr>
          <w:b w:val="0"/>
          <w:caps w:val="0"/>
          <w:sz w:val="20"/>
        </w:rPr>
        <w:t>‘</w:t>
      </w:r>
      <w:r w:rsidRPr="00513612">
        <w:rPr>
          <w:b w:val="0"/>
          <w:caps w:val="0"/>
          <w:sz w:val="20"/>
        </w:rPr>
        <w:t>green premium</w:t>
      </w:r>
      <w:r w:rsidR="00A7699A">
        <w:rPr>
          <w:b w:val="0"/>
          <w:caps w:val="0"/>
          <w:sz w:val="20"/>
        </w:rPr>
        <w:t>’</w:t>
      </w:r>
      <w:r w:rsidRPr="00513612">
        <w:rPr>
          <w:b w:val="0"/>
          <w:caps w:val="0"/>
          <w:sz w:val="20"/>
        </w:rPr>
        <w:t xml:space="preserve"> that sacrifices return for sustainability value.</w:t>
      </w:r>
    </w:p>
    <w:p w:rsidR="00D57A1C" w:rsidRPr="00513612" w:rsidRDefault="0096508A" w:rsidP="00513612">
      <w:pPr>
        <w:pStyle w:val="1"/>
        <w:keepNext/>
        <w:numPr>
          <w:ilvl w:val="0"/>
          <w:numId w:val="2"/>
        </w:numPr>
        <w:spacing w:after="120"/>
        <w:ind w:left="357" w:hanging="357"/>
        <w:jc w:val="center"/>
        <w:rPr>
          <w:rFonts w:eastAsiaTheme="minorEastAsia" w:cs="Arial"/>
          <w:caps/>
          <w:kern w:val="32"/>
          <w:sz w:val="22"/>
          <w:szCs w:val="24"/>
          <w:lang w:eastAsia="en-US"/>
        </w:rPr>
      </w:pPr>
      <w:r w:rsidRPr="00513612">
        <w:rPr>
          <w:rFonts w:eastAsiaTheme="minorEastAsia" w:cs="Arial"/>
          <w:caps/>
          <w:kern w:val="32"/>
          <w:sz w:val="22"/>
          <w:szCs w:val="24"/>
          <w:lang w:eastAsia="en-US"/>
        </w:rPr>
        <w:t>ESG Performance Evidence</w:t>
      </w:r>
    </w:p>
    <w:p w:rsidR="00D57A1C" w:rsidRPr="00513612" w:rsidRDefault="0096508A" w:rsidP="00513612">
      <w:pPr>
        <w:keepNext/>
        <w:widowControl/>
        <w:tabs>
          <w:tab w:val="left" w:pos="504"/>
        </w:tabs>
        <w:spacing w:after="120"/>
        <w:ind w:left="360" w:hanging="360"/>
        <w:outlineLvl w:val="1"/>
        <w:rPr>
          <w:rFonts w:cs="Arial"/>
          <w:b/>
          <w:bCs/>
          <w:kern w:val="32"/>
          <w:sz w:val="20"/>
          <w:szCs w:val="20"/>
          <w:lang w:eastAsia="en-US"/>
        </w:rPr>
      </w:pPr>
      <w:r w:rsidRPr="00513612">
        <w:rPr>
          <w:rFonts w:cs="Arial"/>
          <w:b/>
          <w:bCs/>
          <w:kern w:val="32"/>
          <w:sz w:val="20"/>
          <w:szCs w:val="20"/>
          <w:lang w:eastAsia="en-US"/>
        </w:rPr>
        <w:t>2.1 Meta-Analytic Evidence</w:t>
      </w:r>
    </w:p>
    <w:p w:rsidR="00D57A1C" w:rsidRPr="00513612" w:rsidRDefault="0096508A" w:rsidP="00513612">
      <w:pPr>
        <w:pStyle w:val="SPIEabstracttitle"/>
        <w:spacing w:before="0" w:after="120"/>
        <w:jc w:val="both"/>
        <w:rPr>
          <w:b w:val="0"/>
          <w:caps w:val="0"/>
          <w:sz w:val="20"/>
        </w:rPr>
      </w:pPr>
      <w:proofErr w:type="spellStart"/>
      <w:r w:rsidRPr="00513612">
        <w:rPr>
          <w:b w:val="0"/>
          <w:caps w:val="0"/>
          <w:sz w:val="20"/>
        </w:rPr>
        <w:t>Friede</w:t>
      </w:r>
      <w:proofErr w:type="spellEnd"/>
      <w:r w:rsidRPr="00513612">
        <w:rPr>
          <w:b w:val="0"/>
          <w:caps w:val="0"/>
          <w:sz w:val="20"/>
        </w:rPr>
        <w:t xml:space="preserve">, Busch, and </w:t>
      </w:r>
      <w:proofErr w:type="spellStart"/>
      <w:r w:rsidRPr="00513612">
        <w:rPr>
          <w:b w:val="0"/>
          <w:caps w:val="0"/>
          <w:sz w:val="20"/>
        </w:rPr>
        <w:t>Bassen</w:t>
      </w:r>
      <w:proofErr w:type="spellEnd"/>
      <w:r w:rsidRPr="00513612">
        <w:rPr>
          <w:b w:val="0"/>
          <w:caps w:val="0"/>
          <w:sz w:val="20"/>
        </w:rPr>
        <w:t xml:space="preserve"> (2015) in the Journal of Sustainable Finance &amp; Investment (5(4): 210–233) conducted the most comprehensive meta-analysis of ESG-performance studies, reviewing over 2,200 individual studies and finding that approximately 90% reported a neutral or positive relationship between ESG and corporate financial performance, with 63% showing positive relationships. However, methodological heterogeneity across studies—different ESG metrics, time periods, industries, and performance measures—limits comparability. Specifically, governance quality (G) shows the most consistent positive performance relationship, while environmental (E) and social (S) factors show more heterogeneous results depending on industry context and time period.</w:t>
      </w:r>
    </w:p>
    <w:p w:rsidR="00D57A1C" w:rsidRPr="00513612" w:rsidRDefault="0096508A" w:rsidP="00513612">
      <w:pPr>
        <w:keepNext/>
        <w:widowControl/>
        <w:tabs>
          <w:tab w:val="left" w:pos="504"/>
        </w:tabs>
        <w:spacing w:after="120"/>
        <w:ind w:left="360" w:hanging="360"/>
        <w:outlineLvl w:val="1"/>
        <w:rPr>
          <w:rFonts w:cs="Arial"/>
          <w:b/>
          <w:bCs/>
          <w:kern w:val="32"/>
          <w:sz w:val="20"/>
          <w:szCs w:val="20"/>
          <w:lang w:eastAsia="en-US"/>
        </w:rPr>
      </w:pPr>
      <w:r w:rsidRPr="00513612">
        <w:rPr>
          <w:rFonts w:cs="Arial"/>
          <w:b/>
          <w:bCs/>
          <w:kern w:val="32"/>
          <w:sz w:val="20"/>
          <w:szCs w:val="20"/>
          <w:lang w:eastAsia="en-US"/>
        </w:rPr>
        <w:lastRenderedPageBreak/>
        <w:t>2.2 ESG Fund Performance</w:t>
      </w:r>
    </w:p>
    <w:p w:rsidR="00D57A1C" w:rsidRPr="00513612" w:rsidRDefault="0096508A" w:rsidP="00513612">
      <w:pPr>
        <w:pStyle w:val="SPIEabstracttitle"/>
        <w:spacing w:before="0" w:after="120"/>
        <w:jc w:val="both"/>
        <w:rPr>
          <w:b w:val="0"/>
          <w:caps w:val="0"/>
          <w:sz w:val="20"/>
        </w:rPr>
      </w:pPr>
      <w:r w:rsidRPr="00513612">
        <w:rPr>
          <w:b w:val="0"/>
          <w:caps w:val="0"/>
          <w:sz w:val="20"/>
        </w:rPr>
        <w:t>Evidence on ESG fund performance relative to conventional benchmarks is mixed and period-dependent. ESG funds showed superior performance during the 2015–2020 period, partly because underweight fossil fuel exposure benefited performance during oil price declines and growth stock dominance, but underperformed during 2021–2022 when energy sector recovery and inflation favored value over growth. Long-term net-of-fee ESG fund performance evidence—controlling for factor exposures (value, quality, low volatility)—shows performance roughly comparable to non-ESG benchmarks, suggesting that ESG integration does not systematically sacrifice returns when implemented with diversification and factor discipline.</w:t>
      </w:r>
    </w:p>
    <w:p w:rsidR="00D57A1C" w:rsidRDefault="0096508A" w:rsidP="00513612">
      <w:pPr>
        <w:pStyle w:val="1"/>
        <w:keepNext/>
        <w:numPr>
          <w:ilvl w:val="0"/>
          <w:numId w:val="2"/>
        </w:numPr>
        <w:spacing w:after="120"/>
        <w:ind w:left="357" w:hanging="357"/>
        <w:jc w:val="center"/>
        <w:rPr>
          <w:rFonts w:eastAsiaTheme="minorEastAsia" w:cs="Arial"/>
          <w:caps/>
          <w:kern w:val="32"/>
          <w:sz w:val="22"/>
          <w:szCs w:val="24"/>
          <w:lang w:eastAsia="en-US"/>
        </w:rPr>
      </w:pPr>
      <w:r w:rsidRPr="00513612">
        <w:rPr>
          <w:rFonts w:eastAsiaTheme="minorEastAsia" w:cs="Arial"/>
          <w:caps/>
          <w:kern w:val="32"/>
          <w:sz w:val="22"/>
          <w:szCs w:val="24"/>
          <w:lang w:eastAsia="en-US"/>
        </w:rPr>
        <w:t>Green Bonds and Greenium</w:t>
      </w:r>
    </w:p>
    <w:p w:rsidR="00513612" w:rsidRPr="00513612" w:rsidRDefault="00513612" w:rsidP="00513612">
      <w:pPr>
        <w:pStyle w:val="SPIEfigurecaption"/>
        <w:ind w:left="714" w:right="357" w:hanging="357"/>
      </w:pPr>
      <w:r w:rsidRPr="00513612">
        <w:t>Table 1. Green bond market segments, issuance scale, and estimated greenium.</w:t>
      </w:r>
    </w:p>
    <w:tbl>
      <w:tblPr>
        <w:tblW w:w="0" w:type="auto"/>
        <w:jc w:val="center"/>
        <w:tblBorders>
          <w:top w:val="single" w:sz="12" w:space="0" w:color="auto"/>
          <w:bottom w:val="single" w:sz="12" w:space="0" w:color="auto"/>
        </w:tblBorders>
        <w:tblCellMar>
          <w:left w:w="10" w:type="dxa"/>
          <w:right w:w="10" w:type="dxa"/>
        </w:tblCellMar>
        <w:tblLook w:val="0000" w:firstRow="0" w:lastRow="0" w:firstColumn="0" w:lastColumn="0" w:noHBand="0" w:noVBand="0"/>
      </w:tblPr>
      <w:tblGrid>
        <w:gridCol w:w="2080"/>
        <w:gridCol w:w="3440"/>
        <w:gridCol w:w="4199"/>
      </w:tblGrid>
      <w:tr w:rsidR="00D57A1C" w:rsidRPr="00513612" w:rsidTr="00513612">
        <w:trPr>
          <w:jc w:val="center"/>
        </w:trPr>
        <w:tc>
          <w:tcPr>
            <w:tcW w:w="0" w:type="auto"/>
            <w:tcBorders>
              <w:top w:val="single" w:sz="12" w:space="0" w:color="auto"/>
              <w:bottom w:val="single" w:sz="6" w:space="0" w:color="auto"/>
            </w:tcBorders>
            <w:shd w:val="clear" w:color="auto" w:fill="auto"/>
            <w:tcMar>
              <w:top w:w="80" w:type="dxa"/>
              <w:left w:w="110" w:type="dxa"/>
              <w:bottom w:w="80" w:type="dxa"/>
              <w:right w:w="110" w:type="dxa"/>
            </w:tcMar>
          </w:tcPr>
          <w:p w:rsidR="00D57A1C" w:rsidRPr="00513612" w:rsidRDefault="0096508A" w:rsidP="00513612">
            <w:pPr>
              <w:jc w:val="left"/>
              <w:rPr>
                <w:sz w:val="22"/>
                <w:szCs w:val="22"/>
              </w:rPr>
            </w:pPr>
            <w:r w:rsidRPr="00513612">
              <w:rPr>
                <w:b/>
                <w:bCs/>
                <w:sz w:val="22"/>
                <w:szCs w:val="22"/>
              </w:rPr>
              <w:t>Market</w:t>
            </w:r>
          </w:p>
        </w:tc>
        <w:tc>
          <w:tcPr>
            <w:tcW w:w="0" w:type="auto"/>
            <w:tcBorders>
              <w:top w:val="single" w:sz="12" w:space="0" w:color="auto"/>
              <w:bottom w:val="single" w:sz="6" w:space="0" w:color="auto"/>
            </w:tcBorders>
            <w:shd w:val="clear" w:color="auto" w:fill="auto"/>
            <w:tcMar>
              <w:top w:w="80" w:type="dxa"/>
              <w:left w:w="110" w:type="dxa"/>
              <w:bottom w:w="80" w:type="dxa"/>
              <w:right w:w="110" w:type="dxa"/>
            </w:tcMar>
          </w:tcPr>
          <w:p w:rsidR="00D57A1C" w:rsidRPr="00513612" w:rsidRDefault="0096508A" w:rsidP="00513612">
            <w:pPr>
              <w:jc w:val="left"/>
              <w:rPr>
                <w:sz w:val="22"/>
                <w:szCs w:val="22"/>
              </w:rPr>
            </w:pPr>
            <w:r w:rsidRPr="00513612">
              <w:rPr>
                <w:b/>
                <w:bCs/>
                <w:sz w:val="22"/>
                <w:szCs w:val="22"/>
              </w:rPr>
              <w:t>Issuance (2022)</w:t>
            </w:r>
          </w:p>
        </w:tc>
        <w:tc>
          <w:tcPr>
            <w:tcW w:w="0" w:type="auto"/>
            <w:tcBorders>
              <w:top w:val="single" w:sz="12" w:space="0" w:color="auto"/>
              <w:bottom w:val="single" w:sz="6" w:space="0" w:color="auto"/>
            </w:tcBorders>
            <w:shd w:val="clear" w:color="auto" w:fill="auto"/>
            <w:tcMar>
              <w:top w:w="80" w:type="dxa"/>
              <w:left w:w="110" w:type="dxa"/>
              <w:bottom w:w="80" w:type="dxa"/>
              <w:right w:w="110" w:type="dxa"/>
            </w:tcMar>
          </w:tcPr>
          <w:p w:rsidR="00D57A1C" w:rsidRPr="00513612" w:rsidRDefault="0096508A" w:rsidP="00513612">
            <w:pPr>
              <w:jc w:val="left"/>
              <w:rPr>
                <w:sz w:val="22"/>
                <w:szCs w:val="22"/>
              </w:rPr>
            </w:pPr>
            <w:proofErr w:type="spellStart"/>
            <w:r w:rsidRPr="00513612">
              <w:rPr>
                <w:b/>
                <w:bCs/>
                <w:sz w:val="22"/>
                <w:szCs w:val="22"/>
              </w:rPr>
              <w:t>Greenium</w:t>
            </w:r>
            <w:proofErr w:type="spellEnd"/>
            <w:r w:rsidRPr="00513612">
              <w:rPr>
                <w:b/>
                <w:bCs/>
                <w:sz w:val="22"/>
                <w:szCs w:val="22"/>
              </w:rPr>
              <w:t xml:space="preserve"> Estimate</w:t>
            </w:r>
          </w:p>
        </w:tc>
      </w:tr>
      <w:tr w:rsidR="00D57A1C" w:rsidTr="00513612">
        <w:trPr>
          <w:jc w:val="center"/>
        </w:trPr>
        <w:tc>
          <w:tcPr>
            <w:tcW w:w="0" w:type="auto"/>
            <w:tcBorders>
              <w:top w:val="single" w:sz="6" w:space="0" w:color="auto"/>
            </w:tcBorders>
            <w:tcMar>
              <w:top w:w="80" w:type="dxa"/>
              <w:left w:w="110" w:type="dxa"/>
              <w:bottom w:w="80" w:type="dxa"/>
              <w:right w:w="110" w:type="dxa"/>
            </w:tcMar>
          </w:tcPr>
          <w:p w:rsidR="00D57A1C" w:rsidRDefault="0096508A" w:rsidP="00513612">
            <w:pPr>
              <w:jc w:val="left"/>
            </w:pPr>
            <w:r>
              <w:rPr>
                <w:sz w:val="20"/>
                <w:szCs w:val="20"/>
              </w:rPr>
              <w:t>Government green bonds</w:t>
            </w:r>
          </w:p>
        </w:tc>
        <w:tc>
          <w:tcPr>
            <w:tcW w:w="0" w:type="auto"/>
            <w:tcBorders>
              <w:top w:val="single" w:sz="6" w:space="0" w:color="auto"/>
            </w:tcBorders>
            <w:tcMar>
              <w:top w:w="80" w:type="dxa"/>
              <w:left w:w="110" w:type="dxa"/>
              <w:bottom w:w="80" w:type="dxa"/>
              <w:right w:w="110" w:type="dxa"/>
            </w:tcMar>
          </w:tcPr>
          <w:p w:rsidR="00D57A1C" w:rsidRDefault="0096508A" w:rsidP="00513612">
            <w:pPr>
              <w:jc w:val="left"/>
            </w:pPr>
            <w:r>
              <w:rPr>
                <w:sz w:val="20"/>
                <w:szCs w:val="20"/>
              </w:rPr>
              <w:t>~$500B globally; Germany, France, UK lead</w:t>
            </w:r>
          </w:p>
        </w:tc>
        <w:tc>
          <w:tcPr>
            <w:tcW w:w="0" w:type="auto"/>
            <w:tcBorders>
              <w:top w:val="single" w:sz="6" w:space="0" w:color="auto"/>
            </w:tcBorders>
            <w:tcMar>
              <w:top w:w="80" w:type="dxa"/>
              <w:left w:w="110" w:type="dxa"/>
              <w:bottom w:w="80" w:type="dxa"/>
              <w:right w:w="110" w:type="dxa"/>
            </w:tcMar>
          </w:tcPr>
          <w:p w:rsidR="00D57A1C" w:rsidRDefault="0096508A" w:rsidP="00513612">
            <w:pPr>
              <w:jc w:val="left"/>
            </w:pPr>
            <w:r>
              <w:rPr>
                <w:sz w:val="20"/>
                <w:szCs w:val="20"/>
              </w:rPr>
              <w:t>5–15 basis points (BP) yield below comparable conventional bonds</w:t>
            </w:r>
          </w:p>
        </w:tc>
      </w:tr>
      <w:tr w:rsidR="00D57A1C" w:rsidTr="00513612">
        <w:trPr>
          <w:jc w:val="center"/>
        </w:trPr>
        <w:tc>
          <w:tcPr>
            <w:tcW w:w="0" w:type="auto"/>
            <w:tcMar>
              <w:top w:w="80" w:type="dxa"/>
              <w:left w:w="110" w:type="dxa"/>
              <w:bottom w:w="80" w:type="dxa"/>
              <w:right w:w="110" w:type="dxa"/>
            </w:tcMar>
          </w:tcPr>
          <w:p w:rsidR="00D57A1C" w:rsidRDefault="0096508A" w:rsidP="00513612">
            <w:pPr>
              <w:jc w:val="left"/>
            </w:pPr>
            <w:r>
              <w:rPr>
                <w:sz w:val="20"/>
                <w:szCs w:val="20"/>
              </w:rPr>
              <w:t>Corporate green bonds</w:t>
            </w:r>
          </w:p>
        </w:tc>
        <w:tc>
          <w:tcPr>
            <w:tcW w:w="0" w:type="auto"/>
            <w:tcMar>
              <w:top w:w="80" w:type="dxa"/>
              <w:left w:w="110" w:type="dxa"/>
              <w:bottom w:w="80" w:type="dxa"/>
              <w:right w:w="110" w:type="dxa"/>
            </w:tcMar>
          </w:tcPr>
          <w:p w:rsidR="00D57A1C" w:rsidRDefault="0096508A" w:rsidP="00513612">
            <w:pPr>
              <w:jc w:val="left"/>
            </w:pPr>
            <w:r>
              <w:rPr>
                <w:sz w:val="20"/>
                <w:szCs w:val="20"/>
              </w:rPr>
              <w:t>~$400B; utilities, real estate, financial sector dominant</w:t>
            </w:r>
          </w:p>
        </w:tc>
        <w:tc>
          <w:tcPr>
            <w:tcW w:w="0" w:type="auto"/>
            <w:tcMar>
              <w:top w:w="80" w:type="dxa"/>
              <w:left w:w="110" w:type="dxa"/>
              <w:bottom w:w="80" w:type="dxa"/>
              <w:right w:w="110" w:type="dxa"/>
            </w:tcMar>
          </w:tcPr>
          <w:p w:rsidR="00D57A1C" w:rsidRDefault="0096508A" w:rsidP="00513612">
            <w:pPr>
              <w:jc w:val="left"/>
            </w:pPr>
            <w:r>
              <w:rPr>
                <w:sz w:val="20"/>
                <w:szCs w:val="20"/>
              </w:rPr>
              <w:t>2–8 BP yield spread vs. issuer</w:t>
            </w:r>
            <w:r w:rsidR="00A7699A">
              <w:rPr>
                <w:sz w:val="20"/>
                <w:szCs w:val="20"/>
              </w:rPr>
              <w:t>’</w:t>
            </w:r>
            <w:r>
              <w:rPr>
                <w:sz w:val="20"/>
                <w:szCs w:val="20"/>
              </w:rPr>
              <w:t>s conventional bonds</w:t>
            </w:r>
          </w:p>
        </w:tc>
      </w:tr>
      <w:tr w:rsidR="00D57A1C" w:rsidTr="00513612">
        <w:trPr>
          <w:jc w:val="center"/>
        </w:trPr>
        <w:tc>
          <w:tcPr>
            <w:tcW w:w="0" w:type="auto"/>
            <w:tcMar>
              <w:top w:w="80" w:type="dxa"/>
              <w:left w:w="110" w:type="dxa"/>
              <w:bottom w:w="80" w:type="dxa"/>
              <w:right w:w="110" w:type="dxa"/>
            </w:tcMar>
          </w:tcPr>
          <w:p w:rsidR="00D57A1C" w:rsidRDefault="0096508A" w:rsidP="00513612">
            <w:pPr>
              <w:jc w:val="left"/>
            </w:pPr>
            <w:r>
              <w:rPr>
                <w:sz w:val="20"/>
                <w:szCs w:val="20"/>
              </w:rPr>
              <w:t>Supranational green bonds</w:t>
            </w:r>
          </w:p>
        </w:tc>
        <w:tc>
          <w:tcPr>
            <w:tcW w:w="0" w:type="auto"/>
            <w:tcMar>
              <w:top w:w="80" w:type="dxa"/>
              <w:left w:w="110" w:type="dxa"/>
              <w:bottom w:w="80" w:type="dxa"/>
              <w:right w:w="110" w:type="dxa"/>
            </w:tcMar>
          </w:tcPr>
          <w:p w:rsidR="00D57A1C" w:rsidRDefault="0096508A" w:rsidP="00513612">
            <w:pPr>
              <w:jc w:val="left"/>
            </w:pPr>
            <w:r>
              <w:rPr>
                <w:sz w:val="20"/>
                <w:szCs w:val="20"/>
              </w:rPr>
              <w:t>EIB, World Bank, IFC lead; ~$100B</w:t>
            </w:r>
          </w:p>
        </w:tc>
        <w:tc>
          <w:tcPr>
            <w:tcW w:w="0" w:type="auto"/>
            <w:tcMar>
              <w:top w:w="80" w:type="dxa"/>
              <w:left w:w="110" w:type="dxa"/>
              <w:bottom w:w="80" w:type="dxa"/>
              <w:right w:w="110" w:type="dxa"/>
            </w:tcMar>
          </w:tcPr>
          <w:p w:rsidR="00D57A1C" w:rsidRDefault="0096508A" w:rsidP="00513612">
            <w:pPr>
              <w:jc w:val="left"/>
            </w:pPr>
            <w:r>
              <w:rPr>
                <w:sz w:val="20"/>
                <w:szCs w:val="20"/>
              </w:rPr>
              <w:t>5–10 BP; high demand from ESG-mandate investors</w:t>
            </w:r>
          </w:p>
        </w:tc>
      </w:tr>
      <w:tr w:rsidR="00D57A1C" w:rsidTr="00513612">
        <w:trPr>
          <w:jc w:val="center"/>
        </w:trPr>
        <w:tc>
          <w:tcPr>
            <w:tcW w:w="0" w:type="auto"/>
            <w:tcMar>
              <w:top w:w="80" w:type="dxa"/>
              <w:left w:w="110" w:type="dxa"/>
              <w:bottom w:w="80" w:type="dxa"/>
              <w:right w:w="110" w:type="dxa"/>
            </w:tcMar>
          </w:tcPr>
          <w:p w:rsidR="00D57A1C" w:rsidRDefault="0096508A" w:rsidP="00513612">
            <w:pPr>
              <w:jc w:val="left"/>
            </w:pPr>
            <w:r>
              <w:rPr>
                <w:sz w:val="20"/>
                <w:szCs w:val="20"/>
              </w:rPr>
              <w:t>Sustainability-linked bonds</w:t>
            </w:r>
          </w:p>
        </w:tc>
        <w:tc>
          <w:tcPr>
            <w:tcW w:w="0" w:type="auto"/>
            <w:tcMar>
              <w:top w:w="80" w:type="dxa"/>
              <w:left w:w="110" w:type="dxa"/>
              <w:bottom w:w="80" w:type="dxa"/>
              <w:right w:w="110" w:type="dxa"/>
            </w:tcMar>
          </w:tcPr>
          <w:p w:rsidR="00D57A1C" w:rsidRDefault="0096508A" w:rsidP="00513612">
            <w:pPr>
              <w:jc w:val="left"/>
            </w:pPr>
            <w:r>
              <w:rPr>
                <w:sz w:val="20"/>
                <w:szCs w:val="20"/>
              </w:rPr>
              <w:t>~$150B; KPI-linked coupon step-up if targets missed</w:t>
            </w:r>
          </w:p>
        </w:tc>
        <w:tc>
          <w:tcPr>
            <w:tcW w:w="0" w:type="auto"/>
            <w:tcMar>
              <w:top w:w="80" w:type="dxa"/>
              <w:left w:w="110" w:type="dxa"/>
              <w:bottom w:w="80" w:type="dxa"/>
              <w:right w:w="110" w:type="dxa"/>
            </w:tcMar>
          </w:tcPr>
          <w:p w:rsidR="00D57A1C" w:rsidRDefault="0096508A" w:rsidP="00513612">
            <w:pPr>
              <w:jc w:val="left"/>
            </w:pPr>
            <w:r>
              <w:rPr>
                <w:sz w:val="20"/>
                <w:szCs w:val="20"/>
              </w:rPr>
              <w:t xml:space="preserve">Smaller </w:t>
            </w:r>
            <w:proofErr w:type="spellStart"/>
            <w:r>
              <w:rPr>
                <w:sz w:val="20"/>
                <w:szCs w:val="20"/>
              </w:rPr>
              <w:t>greenium</w:t>
            </w:r>
            <w:proofErr w:type="spellEnd"/>
            <w:r>
              <w:rPr>
                <w:sz w:val="20"/>
                <w:szCs w:val="20"/>
              </w:rPr>
              <w:t>; skepticism about KPI ambition</w:t>
            </w:r>
          </w:p>
        </w:tc>
      </w:tr>
    </w:tbl>
    <w:p w:rsidR="00D57A1C" w:rsidRPr="00513612" w:rsidRDefault="0096508A" w:rsidP="00513612">
      <w:pPr>
        <w:pStyle w:val="1"/>
        <w:keepNext/>
        <w:numPr>
          <w:ilvl w:val="0"/>
          <w:numId w:val="2"/>
        </w:numPr>
        <w:spacing w:after="120"/>
        <w:ind w:left="357" w:hanging="357"/>
        <w:jc w:val="center"/>
        <w:rPr>
          <w:rFonts w:eastAsiaTheme="minorEastAsia" w:cs="Arial"/>
          <w:caps/>
          <w:kern w:val="32"/>
          <w:sz w:val="22"/>
          <w:szCs w:val="24"/>
          <w:lang w:eastAsia="en-US"/>
        </w:rPr>
      </w:pPr>
      <w:r w:rsidRPr="00513612">
        <w:rPr>
          <w:rFonts w:eastAsiaTheme="minorEastAsia" w:cs="Arial"/>
          <w:caps/>
          <w:kern w:val="32"/>
          <w:sz w:val="22"/>
          <w:szCs w:val="24"/>
          <w:lang w:eastAsia="en-US"/>
        </w:rPr>
        <w:t>Climate Risk Integration</w:t>
      </w:r>
    </w:p>
    <w:p w:rsidR="00D57A1C" w:rsidRPr="00513612" w:rsidRDefault="0096508A" w:rsidP="00513612">
      <w:pPr>
        <w:pStyle w:val="SPIEabstracttitle"/>
        <w:spacing w:before="0" w:after="120"/>
        <w:jc w:val="both"/>
        <w:rPr>
          <w:b w:val="0"/>
          <w:caps w:val="0"/>
          <w:sz w:val="20"/>
        </w:rPr>
      </w:pPr>
      <w:r w:rsidRPr="00513612">
        <w:rPr>
          <w:b w:val="0"/>
          <w:caps w:val="0"/>
          <w:sz w:val="20"/>
        </w:rPr>
        <w:t>The Task Force on Climate-Related Financial Disclosures (TCFD), established by the Financial Stability Board in 2015, developed the dominant framework for corporate climate risk disclosure, recommending disclosure across four categories: governance, strategy, risk management, and metrics and targets, with separate reporting on physical and transition risks. Over 3,500 organizations globally have expressed support for TCFD disclosure, and mandatory TCFD-aligned disclosure has been adopted in the UK (2022), EU (through CSRD), and New Zealand. Financial regulators—including the Bank of England, European Central Bank, and Federal Reserve—have conducted climate stress testing of major financial institutions to assess systemic exposure to climate scenarios, with results suggesting significant but manageable climate-related credit losses under central scenarios.</w:t>
      </w:r>
    </w:p>
    <w:p w:rsidR="00D57A1C" w:rsidRPr="00513612" w:rsidRDefault="0096508A" w:rsidP="00513612">
      <w:pPr>
        <w:pStyle w:val="1"/>
        <w:keepNext/>
        <w:numPr>
          <w:ilvl w:val="0"/>
          <w:numId w:val="2"/>
        </w:numPr>
        <w:spacing w:after="120"/>
        <w:ind w:left="357" w:hanging="357"/>
        <w:jc w:val="center"/>
        <w:rPr>
          <w:rFonts w:eastAsiaTheme="minorEastAsia" w:cs="Arial"/>
          <w:caps/>
          <w:kern w:val="32"/>
          <w:sz w:val="22"/>
          <w:szCs w:val="24"/>
          <w:lang w:eastAsia="en-US"/>
        </w:rPr>
      </w:pPr>
      <w:r w:rsidRPr="00513612">
        <w:rPr>
          <w:rFonts w:eastAsiaTheme="minorEastAsia" w:cs="Arial"/>
          <w:caps/>
          <w:kern w:val="32"/>
          <w:sz w:val="22"/>
          <w:szCs w:val="24"/>
          <w:lang w:eastAsia="en-US"/>
        </w:rPr>
        <w:t>Conclusion</w:t>
      </w:r>
    </w:p>
    <w:p w:rsidR="00D57A1C" w:rsidRPr="00513612" w:rsidRDefault="0096508A" w:rsidP="00513612">
      <w:pPr>
        <w:pStyle w:val="SPIEabstracttitle"/>
        <w:spacing w:before="0" w:after="120"/>
        <w:jc w:val="both"/>
        <w:rPr>
          <w:b w:val="0"/>
          <w:caps w:val="0"/>
          <w:sz w:val="20"/>
        </w:rPr>
      </w:pPr>
      <w:r w:rsidRPr="00513612">
        <w:rPr>
          <w:b w:val="0"/>
          <w:caps w:val="0"/>
          <w:sz w:val="20"/>
        </w:rPr>
        <w:t>ESG investing and green finance have moved from ethical niche to mainstream financial practice, driven by investor demand, regulatory pressure, and growing evidence that climate risk and governance quality are material financial risk factors. The green bond market</w:t>
      </w:r>
      <w:r w:rsidR="00A7699A">
        <w:rPr>
          <w:b w:val="0"/>
          <w:caps w:val="0"/>
          <w:sz w:val="20"/>
        </w:rPr>
        <w:t>’</w:t>
      </w:r>
      <w:r w:rsidRPr="00513612">
        <w:rPr>
          <w:b w:val="0"/>
          <w:caps w:val="0"/>
          <w:sz w:val="20"/>
        </w:rPr>
        <w:t xml:space="preserve">s </w:t>
      </w:r>
      <w:proofErr w:type="spellStart"/>
      <w:r w:rsidRPr="00513612">
        <w:rPr>
          <w:b w:val="0"/>
          <w:caps w:val="0"/>
          <w:sz w:val="20"/>
        </w:rPr>
        <w:t>greenium</w:t>
      </w:r>
      <w:proofErr w:type="spellEnd"/>
      <w:r w:rsidRPr="00513612">
        <w:rPr>
          <w:b w:val="0"/>
          <w:caps w:val="0"/>
          <w:sz w:val="20"/>
        </w:rPr>
        <w:t xml:space="preserve"> confirms investor willingness to accept modestly lower yields for credibly sustainable assets, though greenwashing concerns—false or misleading sustainability claims—require robust disclosure and third-party verification. The integration of physical and transition climate risks into portfolio management and corporate valuation represents the frontier of climate finance, requiring new data sources (satellite-based climate exposure, transition pathway modeling) and analytical frameworks that financial economics is still developing.</w:t>
      </w:r>
    </w:p>
    <w:p w:rsidR="00D57A1C" w:rsidRDefault="0096508A" w:rsidP="00513612">
      <w:pPr>
        <w:pStyle w:val="SPIEreferences"/>
      </w:pPr>
      <w:r>
        <w:t>References</w:t>
      </w:r>
    </w:p>
    <w:p w:rsidR="00D57A1C" w:rsidRDefault="0096508A" w:rsidP="00513612">
      <w:pPr>
        <w:pStyle w:val="SPIEreferencelisting"/>
        <w:numPr>
          <w:ilvl w:val="0"/>
          <w:numId w:val="4"/>
        </w:numPr>
        <w:ind w:left="357" w:hanging="357"/>
      </w:pPr>
      <w:proofErr w:type="spellStart"/>
      <w:r w:rsidRPr="00513612">
        <w:t>Friede</w:t>
      </w:r>
      <w:proofErr w:type="spellEnd"/>
      <w:r w:rsidRPr="00513612">
        <w:t xml:space="preserve">, G., Busch, T., &amp; </w:t>
      </w:r>
      <w:proofErr w:type="spellStart"/>
      <w:r w:rsidRPr="00513612">
        <w:t>Bassen</w:t>
      </w:r>
      <w:proofErr w:type="spellEnd"/>
      <w:r w:rsidRPr="00513612">
        <w:t>, A. (2015). ESG and financial performance: Aggregated evidence from more than 2000 empirical studies. Journal of Sustainable Finance &amp; Investment, 5(4), 210–233.</w:t>
      </w:r>
    </w:p>
    <w:p w:rsidR="00D57A1C" w:rsidRDefault="0096508A" w:rsidP="00513612">
      <w:pPr>
        <w:pStyle w:val="SPIEreferencelisting"/>
        <w:numPr>
          <w:ilvl w:val="0"/>
          <w:numId w:val="4"/>
        </w:numPr>
        <w:ind w:left="357" w:hanging="357"/>
      </w:pPr>
      <w:r w:rsidRPr="00513612">
        <w:t>IPCC. (2021). Climate change 2021: The physical science basis. Cambridge University Press.</w:t>
      </w:r>
    </w:p>
    <w:p w:rsidR="00D57A1C" w:rsidRDefault="0096508A" w:rsidP="00513612">
      <w:pPr>
        <w:pStyle w:val="SPIEreferencelisting"/>
        <w:numPr>
          <w:ilvl w:val="0"/>
          <w:numId w:val="4"/>
        </w:numPr>
        <w:ind w:left="357" w:hanging="357"/>
      </w:pPr>
      <w:r w:rsidRPr="00513612">
        <w:lastRenderedPageBreak/>
        <w:t>Pastor, L., Stambaugh, R. F., &amp; Taylor, L. A. (2021). Sustainable investing in equilibrium. Journal of Financial Economics, 142(2), 550–571.</w:t>
      </w:r>
    </w:p>
    <w:p w:rsidR="00D57A1C" w:rsidRDefault="0096508A" w:rsidP="00513612">
      <w:pPr>
        <w:pStyle w:val="SPIEreferencelisting"/>
        <w:numPr>
          <w:ilvl w:val="0"/>
          <w:numId w:val="4"/>
        </w:numPr>
        <w:ind w:left="357" w:hanging="357"/>
      </w:pPr>
      <w:r w:rsidRPr="00513612">
        <w:t>Task Force on Climate-Related Financial Disclosures. (2017). Recommendations of the Task Force on Climate-Related Financial Disclosures. Financial Stability Board.</w:t>
      </w:r>
    </w:p>
    <w:p w:rsidR="00D57A1C" w:rsidRDefault="0096508A" w:rsidP="00513612">
      <w:pPr>
        <w:pStyle w:val="SPIEreferencelisting"/>
        <w:numPr>
          <w:ilvl w:val="0"/>
          <w:numId w:val="4"/>
        </w:numPr>
        <w:ind w:left="357" w:hanging="357"/>
      </w:pPr>
      <w:proofErr w:type="spellStart"/>
      <w:r w:rsidRPr="00513612">
        <w:t>Zerbib</w:t>
      </w:r>
      <w:proofErr w:type="spellEnd"/>
      <w:r w:rsidRPr="00513612">
        <w:t>, O. D. (2019). The effect of pro-environmental preferences on bond prices: Evidence from green bonds. Journal of Banking &amp; Finance, 98, 39–60.</w:t>
      </w:r>
    </w:p>
    <w:sectPr w:rsidR="00D57A1C" w:rsidSect="00001E84">
      <w:headerReference w:type="default" r:id="rId7"/>
      <w:footerReference w:type="default" r:id="rId8"/>
      <w:pgSz w:w="11907" w:h="16840" w:code="9"/>
      <w:pgMar w:top="1440" w:right="1094" w:bottom="2807" w:left="1094" w:header="851" w:footer="992"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D05" w:rsidRDefault="00386D05">
      <w:r>
        <w:separator/>
      </w:r>
    </w:p>
  </w:endnote>
  <w:endnote w:type="continuationSeparator" w:id="0">
    <w:p w:rsidR="00386D05" w:rsidRDefault="00386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A1C" w:rsidRPr="00001E84" w:rsidRDefault="0096508A">
    <w:pPr>
      <w:jc w:val="center"/>
      <w:rPr>
        <w:sz w:val="22"/>
        <w:szCs w:val="22"/>
      </w:rPr>
    </w:pPr>
    <w:r w:rsidRPr="00001E84">
      <w:rPr>
        <w:sz w:val="22"/>
        <w:szCs w:val="22"/>
      </w:rPr>
      <w:fldChar w:fldCharType="begin"/>
    </w:r>
    <w:r w:rsidRPr="00001E84">
      <w:rPr>
        <w:sz w:val="22"/>
        <w:szCs w:val="22"/>
      </w:rPr>
      <w:instrText>PAGE</w:instrText>
    </w:r>
    <w:r w:rsidRPr="00001E84">
      <w:rPr>
        <w:sz w:val="22"/>
        <w:szCs w:val="22"/>
      </w:rPr>
      <w:fldChar w:fldCharType="separate"/>
    </w:r>
    <w:r w:rsidR="00513612" w:rsidRPr="00001E84">
      <w:rPr>
        <w:noProof/>
        <w:sz w:val="22"/>
        <w:szCs w:val="22"/>
      </w:rPr>
      <w:t>1</w:t>
    </w:r>
    <w:r w:rsidRPr="00001E84">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D05" w:rsidRDefault="00386D05">
      <w:r>
        <w:separator/>
      </w:r>
    </w:p>
  </w:footnote>
  <w:footnote w:type="continuationSeparator" w:id="0">
    <w:p w:rsidR="00386D05" w:rsidRDefault="00386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E84" w:rsidRDefault="00001E84" w:rsidP="00001E84">
    <w:bookmarkStart w:id="1" w:name="_Hlk233648455"/>
    <w:bookmarkStart w:id="2" w:name="_Hlk233648456"/>
    <w:r w:rsidRPr="00107B5D">
      <w:rPr>
        <w:sz w:val="20"/>
        <w:szCs w:val="20"/>
      </w:rPr>
      <w:t>VOLUME: 0</w:t>
    </w:r>
    <w:r>
      <w:rPr>
        <w:sz w:val="20"/>
        <w:szCs w:val="20"/>
      </w:rPr>
      <w:t>3</w:t>
    </w:r>
    <w:r w:rsidRPr="00107B5D">
      <w:rPr>
        <w:sz w:val="20"/>
        <w:szCs w:val="20"/>
      </w:rPr>
      <w:t xml:space="preserve"> ISSUE: 0</w:t>
    </w:r>
    <w:r>
      <w:rPr>
        <w:sz w:val="20"/>
        <w:szCs w:val="20"/>
      </w:rPr>
      <w:t>1</w:t>
    </w:r>
    <w:r w:rsidR="00A7699A">
      <w:rPr>
        <w:sz w:val="20"/>
        <w:szCs w:val="20"/>
      </w:rPr>
      <w:t xml:space="preserve"> (2026)</w:t>
    </w:r>
    <w:r w:rsidRPr="00107B5D">
      <w:rPr>
        <w:sz w:val="20"/>
        <w:szCs w:val="20"/>
      </w:rPr>
      <w:t xml:space="preserve"> </w:t>
    </w:r>
    <w:r>
      <w:rPr>
        <w:sz w:val="20"/>
        <w:szCs w:val="20"/>
      </w:rPr>
      <w:t xml:space="preserve">        </w:t>
    </w:r>
    <w:bookmarkEnd w:id="1"/>
    <w:bookmarkEnd w:id="2"/>
    <w:r>
      <w:rPr>
        <w:sz w:val="20"/>
        <w:szCs w:val="20"/>
      </w:rPr>
      <w:t xml:space="preserve">                                                  </w:t>
    </w:r>
    <w:r w:rsidRPr="00BF0653">
      <w:rPr>
        <w:sz w:val="20"/>
        <w:szCs w:val="20"/>
      </w:rPr>
      <w:t>Journal of Advances in Economics and Management 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39F7"/>
    <w:multiLevelType w:val="hybridMultilevel"/>
    <w:tmpl w:val="FCD88808"/>
    <w:lvl w:ilvl="0" w:tplc="FCC6C60A">
      <w:start w:val="1"/>
      <w:numFmt w:val="bullet"/>
      <w:pStyle w:val="SPIEreferencelisting"/>
      <w:lvlText w:val="●"/>
      <w:lvlJc w:val="left"/>
      <w:pPr>
        <w:ind w:left="720" w:hanging="360"/>
      </w:pPr>
    </w:lvl>
    <w:lvl w:ilvl="1" w:tplc="1F0A0282">
      <w:start w:val="1"/>
      <w:numFmt w:val="bullet"/>
      <w:lvlText w:val="○"/>
      <w:lvlJc w:val="left"/>
      <w:pPr>
        <w:ind w:left="1440" w:hanging="360"/>
      </w:pPr>
    </w:lvl>
    <w:lvl w:ilvl="2" w:tplc="925E874E">
      <w:start w:val="1"/>
      <w:numFmt w:val="bullet"/>
      <w:lvlText w:val="■"/>
      <w:lvlJc w:val="left"/>
      <w:pPr>
        <w:ind w:left="2160" w:hanging="360"/>
      </w:pPr>
    </w:lvl>
    <w:lvl w:ilvl="3" w:tplc="3B242508">
      <w:start w:val="1"/>
      <w:numFmt w:val="bullet"/>
      <w:lvlText w:val="●"/>
      <w:lvlJc w:val="left"/>
      <w:pPr>
        <w:ind w:left="2880" w:hanging="360"/>
      </w:pPr>
    </w:lvl>
    <w:lvl w:ilvl="4" w:tplc="1AC0B3B2">
      <w:start w:val="1"/>
      <w:numFmt w:val="bullet"/>
      <w:lvlText w:val="○"/>
      <w:lvlJc w:val="left"/>
      <w:pPr>
        <w:ind w:left="3600" w:hanging="360"/>
      </w:pPr>
    </w:lvl>
    <w:lvl w:ilvl="5" w:tplc="50D43CB2">
      <w:start w:val="1"/>
      <w:numFmt w:val="bullet"/>
      <w:lvlText w:val="■"/>
      <w:lvlJc w:val="left"/>
      <w:pPr>
        <w:ind w:left="4320" w:hanging="360"/>
      </w:pPr>
    </w:lvl>
    <w:lvl w:ilvl="6" w:tplc="D85E11C8">
      <w:start w:val="1"/>
      <w:numFmt w:val="bullet"/>
      <w:lvlText w:val="●"/>
      <w:lvlJc w:val="left"/>
      <w:pPr>
        <w:ind w:left="5040" w:hanging="360"/>
      </w:pPr>
    </w:lvl>
    <w:lvl w:ilvl="7" w:tplc="ADBC9AA2">
      <w:start w:val="1"/>
      <w:numFmt w:val="bullet"/>
      <w:lvlText w:val="●"/>
      <w:lvlJc w:val="left"/>
      <w:pPr>
        <w:ind w:left="5760" w:hanging="360"/>
      </w:pPr>
    </w:lvl>
    <w:lvl w:ilvl="8" w:tplc="D6A2C2EE">
      <w:start w:val="1"/>
      <w:numFmt w:val="bullet"/>
      <w:lvlText w:val="●"/>
      <w:lvlJc w:val="left"/>
      <w:pPr>
        <w:ind w:left="6480" w:hanging="360"/>
      </w:pPr>
    </w:lvl>
  </w:abstractNum>
  <w:abstractNum w:abstractNumId="1" w15:restartNumberingAfterBreak="0">
    <w:nsid w:val="1BDC6A59"/>
    <w:multiLevelType w:val="hybridMultilevel"/>
    <w:tmpl w:val="348A0C2A"/>
    <w:lvl w:ilvl="0" w:tplc="0DBE77E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E133956"/>
    <w:multiLevelType w:val="hybridMultilevel"/>
    <w:tmpl w:val="C9FC44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796B81"/>
    <w:multiLevelType w:val="hybridMultilevel"/>
    <w:tmpl w:val="12CA3AD8"/>
    <w:lvl w:ilvl="0" w:tplc="FDE6F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bordersDoNotSurroundHeader/>
  <w:bordersDoNotSurroundFooter/>
  <w:gutterAtTop/>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1C"/>
    <w:rsid w:val="00001E84"/>
    <w:rsid w:val="00350350"/>
    <w:rsid w:val="00386D05"/>
    <w:rsid w:val="00513612"/>
    <w:rsid w:val="0096508A"/>
    <w:rsid w:val="00A2683A"/>
    <w:rsid w:val="00A7699A"/>
    <w:rsid w:val="00D57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C148B"/>
  <w15:docId w15:val="{C77B0795-B425-45D2-A269-20293894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aliases w:val="SPIE Section"/>
    <w:qFormat/>
    <w:pPr>
      <w:spacing w:before="240" w:after="100"/>
      <w:outlineLvl w:val="0"/>
    </w:pPr>
    <w:rPr>
      <w:rFonts w:eastAsia="Times New Roman"/>
      <w:b/>
      <w:bCs/>
      <w:sz w:val="27"/>
      <w:szCs w:val="27"/>
    </w:rPr>
  </w:style>
  <w:style w:type="paragraph" w:styleId="2">
    <w:name w:val="heading 2"/>
    <w:uiPriority w:val="9"/>
    <w:unhideWhenUsed/>
    <w:qFormat/>
    <w:pPr>
      <w:spacing w:before="160" w:after="80"/>
      <w:outlineLvl w:val="1"/>
    </w:pPr>
    <w:rPr>
      <w:rFonts w:eastAsia="Times New Roman"/>
      <w:b/>
      <w:bCs/>
      <w:i/>
      <w:iCs/>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要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本 字符"/>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尾注文本 字符"/>
    <w:link w:val="aa"/>
    <w:uiPriority w:val="99"/>
    <w:semiHidden/>
    <w:unhideWhenUsed/>
    <w:rPr>
      <w:sz w:val="20"/>
      <w:szCs w:val="20"/>
    </w:rPr>
  </w:style>
  <w:style w:type="paragraph" w:customStyle="1" w:styleId="SPIEabstracttitle">
    <w:name w:val="SPIE abstract title"/>
    <w:basedOn w:val="a"/>
    <w:link w:val="SPIEabstracttitleCharChar"/>
    <w:rsid w:val="00513612"/>
    <w:pPr>
      <w:widowControl/>
      <w:spacing w:before="480" w:after="240"/>
      <w:jc w:val="center"/>
      <w:outlineLvl w:val="0"/>
    </w:pPr>
    <w:rPr>
      <w:b/>
      <w:caps/>
      <w:sz w:val="22"/>
      <w:szCs w:val="20"/>
      <w:lang w:eastAsia="en-US"/>
    </w:rPr>
  </w:style>
  <w:style w:type="character" w:customStyle="1" w:styleId="SPIEabstracttitleCharChar">
    <w:name w:val="SPIE abstract title Char Char"/>
    <w:link w:val="SPIEabstracttitle"/>
    <w:rsid w:val="00513612"/>
    <w:rPr>
      <w:b/>
      <w:caps/>
      <w:sz w:val="22"/>
      <w:szCs w:val="20"/>
      <w:lang w:eastAsia="en-US"/>
    </w:rPr>
  </w:style>
  <w:style w:type="paragraph" w:customStyle="1" w:styleId="SPIEfigurecaption">
    <w:name w:val="SPIE figure caption"/>
    <w:basedOn w:val="a"/>
    <w:next w:val="a"/>
    <w:link w:val="SPIEfigurecaptionChar"/>
    <w:rsid w:val="00513612"/>
    <w:pPr>
      <w:widowControl/>
      <w:spacing w:after="120"/>
      <w:ind w:left="720" w:right="360" w:hanging="360"/>
      <w:jc w:val="left"/>
    </w:pPr>
    <w:rPr>
      <w:sz w:val="18"/>
      <w:szCs w:val="20"/>
      <w:lang w:eastAsia="en-US"/>
    </w:rPr>
  </w:style>
  <w:style w:type="character" w:customStyle="1" w:styleId="SPIEfigurecaptionChar">
    <w:name w:val="SPIE figure caption Char"/>
    <w:link w:val="SPIEfigurecaption"/>
    <w:rsid w:val="00513612"/>
    <w:rPr>
      <w:sz w:val="18"/>
      <w:szCs w:val="20"/>
      <w:lang w:eastAsia="en-US"/>
    </w:rPr>
  </w:style>
  <w:style w:type="paragraph" w:customStyle="1" w:styleId="SPIEreferences">
    <w:name w:val="SPIEreferences"/>
    <w:basedOn w:val="SPIEabstracttitle"/>
    <w:rsid w:val="00513612"/>
    <w:pPr>
      <w:keepNext/>
    </w:pPr>
    <w:rPr>
      <w:szCs w:val="22"/>
    </w:rPr>
  </w:style>
  <w:style w:type="paragraph" w:customStyle="1" w:styleId="SPIEreferencelisting">
    <w:name w:val="SPIE reference listing"/>
    <w:basedOn w:val="a"/>
    <w:rsid w:val="00513612"/>
    <w:pPr>
      <w:widowControl/>
      <w:numPr>
        <w:numId w:val="1"/>
      </w:numPr>
      <w:tabs>
        <w:tab w:val="num" w:pos="360"/>
      </w:tabs>
      <w:ind w:left="0" w:firstLine="0"/>
    </w:pPr>
    <w:rPr>
      <w:sz w:val="20"/>
      <w:szCs w:val="20"/>
      <w:lang w:eastAsia="en-US"/>
    </w:rPr>
  </w:style>
  <w:style w:type="paragraph" w:styleId="ac">
    <w:name w:val="header"/>
    <w:basedOn w:val="a"/>
    <w:link w:val="ad"/>
    <w:uiPriority w:val="99"/>
    <w:unhideWhenUsed/>
    <w:rsid w:val="00513612"/>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uiPriority w:val="99"/>
    <w:rsid w:val="00513612"/>
    <w:rPr>
      <w:sz w:val="18"/>
      <w:szCs w:val="18"/>
    </w:rPr>
  </w:style>
  <w:style w:type="paragraph" w:styleId="ae">
    <w:name w:val="footer"/>
    <w:basedOn w:val="a"/>
    <w:link w:val="af"/>
    <w:uiPriority w:val="99"/>
    <w:unhideWhenUsed/>
    <w:rsid w:val="00513612"/>
    <w:pPr>
      <w:tabs>
        <w:tab w:val="center" w:pos="4153"/>
        <w:tab w:val="right" w:pos="8306"/>
      </w:tabs>
      <w:snapToGrid w:val="0"/>
      <w:jc w:val="left"/>
    </w:pPr>
    <w:rPr>
      <w:sz w:val="18"/>
      <w:szCs w:val="18"/>
    </w:rPr>
  </w:style>
  <w:style w:type="character" w:customStyle="1" w:styleId="af">
    <w:name w:val="页脚 字符"/>
    <w:basedOn w:val="a0"/>
    <w:link w:val="ae"/>
    <w:uiPriority w:val="99"/>
    <w:rsid w:val="005136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4</cp:revision>
  <dcterms:created xsi:type="dcterms:W3CDTF">2026-06-25T02:09:00Z</dcterms:created>
  <dcterms:modified xsi:type="dcterms:W3CDTF">2026-07-07T08:00:00Z</dcterms:modified>
</cp:coreProperties>
</file>